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04" w:rsidRPr="002341DC" w:rsidRDefault="004B0C04" w:rsidP="004B0C04">
      <w:pPr>
        <w:rPr>
          <w:b/>
          <w:color w:val="000080"/>
          <w:sz w:val="12"/>
          <w:szCs w:val="12"/>
        </w:rPr>
      </w:pPr>
      <w:bookmarkStart w:id="0" w:name="_GoBack"/>
      <w:bookmarkEnd w:id="0"/>
      <w:r w:rsidRPr="002341DC">
        <w:rPr>
          <w:b/>
          <w:color w:val="000080"/>
          <w:sz w:val="12"/>
          <w:szCs w:val="12"/>
        </w:rPr>
        <w:t xml:space="preserve">                         </w:t>
      </w:r>
    </w:p>
    <w:p w:rsidR="00244649" w:rsidRDefault="004B0C04" w:rsidP="004B0C04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CC0D58">
        <w:rPr>
          <w:b/>
          <w:sz w:val="20"/>
          <w:szCs w:val="20"/>
        </w:rPr>
        <w:t>Purpose</w:t>
      </w:r>
    </w:p>
    <w:p w:rsidR="00244649" w:rsidRDefault="00244649" w:rsidP="00244649">
      <w:pPr>
        <w:rPr>
          <w:b/>
          <w:sz w:val="20"/>
          <w:szCs w:val="20"/>
        </w:rPr>
      </w:pPr>
    </w:p>
    <w:p w:rsidR="003F428D" w:rsidRDefault="00244649" w:rsidP="003F428D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 w:rsidRPr="0019141F">
        <w:rPr>
          <w:sz w:val="20"/>
          <w:szCs w:val="20"/>
        </w:rPr>
        <w:t>The purpose of this p</w:t>
      </w:r>
      <w:r w:rsidR="00071999" w:rsidRPr="0019141F">
        <w:rPr>
          <w:sz w:val="20"/>
          <w:szCs w:val="20"/>
        </w:rPr>
        <w:t>rocedure is to provide a detailed s</w:t>
      </w:r>
      <w:r w:rsidR="000542A7">
        <w:rPr>
          <w:sz w:val="20"/>
          <w:szCs w:val="20"/>
        </w:rPr>
        <w:t xml:space="preserve">et of instructions </w:t>
      </w:r>
      <w:r w:rsidR="000A0F83">
        <w:rPr>
          <w:sz w:val="20"/>
          <w:szCs w:val="20"/>
        </w:rPr>
        <w:t xml:space="preserve">on how to </w:t>
      </w:r>
      <w:r w:rsidR="009A1952">
        <w:rPr>
          <w:sz w:val="20"/>
          <w:szCs w:val="20"/>
        </w:rPr>
        <w:t xml:space="preserve">properly collect and present a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aylor Made Sales (TMS)</w:t>
      </w:r>
      <w:r w:rsidR="009A1952">
        <w:rPr>
          <w:sz w:val="20"/>
          <w:szCs w:val="20"/>
        </w:rPr>
        <w:t xml:space="preserve"> employee’s</w:t>
      </w:r>
      <w:r w:rsidR="00102879">
        <w:rPr>
          <w:sz w:val="20"/>
          <w:szCs w:val="20"/>
        </w:rPr>
        <w:t xml:space="preserve"> </w:t>
      </w:r>
      <w:r w:rsidR="009A1952">
        <w:rPr>
          <w:sz w:val="20"/>
          <w:szCs w:val="20"/>
        </w:rPr>
        <w:t>(EE’s) direct deposit</w:t>
      </w:r>
      <w:r w:rsidR="00102879">
        <w:rPr>
          <w:sz w:val="20"/>
          <w:szCs w:val="20"/>
        </w:rPr>
        <w:t xml:space="preserve"> </w:t>
      </w:r>
      <w:r w:rsidR="009A1952">
        <w:rPr>
          <w:sz w:val="20"/>
          <w:szCs w:val="20"/>
        </w:rPr>
        <w:t>(DD) information to the Payroll Department</w:t>
      </w:r>
      <w:r w:rsidR="00E42E86">
        <w:rPr>
          <w:sz w:val="20"/>
          <w:szCs w:val="20"/>
        </w:rPr>
        <w:t>.</w:t>
      </w:r>
    </w:p>
    <w:p w:rsidR="003F428D" w:rsidRDefault="003F428D" w:rsidP="003F428D">
      <w:pPr>
        <w:ind w:left="1080"/>
        <w:rPr>
          <w:sz w:val="20"/>
          <w:szCs w:val="20"/>
        </w:rPr>
      </w:pPr>
    </w:p>
    <w:p w:rsidR="00AE7FCA" w:rsidRPr="003F428D" w:rsidRDefault="00AE7FCA" w:rsidP="003F428D">
      <w:pPr>
        <w:ind w:left="1080"/>
        <w:rPr>
          <w:sz w:val="20"/>
          <w:szCs w:val="20"/>
        </w:rPr>
      </w:pPr>
    </w:p>
    <w:p w:rsidR="00244649" w:rsidRDefault="00244649" w:rsidP="00814A51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b/>
          <w:sz w:val="20"/>
          <w:szCs w:val="20"/>
        </w:rPr>
      </w:pPr>
      <w:r w:rsidRPr="00411DA5">
        <w:rPr>
          <w:b/>
          <w:sz w:val="20"/>
          <w:szCs w:val="20"/>
        </w:rPr>
        <w:t>Scope</w:t>
      </w:r>
    </w:p>
    <w:p w:rsidR="00244649" w:rsidRDefault="00244649" w:rsidP="00244649">
      <w:pPr>
        <w:rPr>
          <w:b/>
          <w:sz w:val="20"/>
          <w:szCs w:val="20"/>
        </w:rPr>
      </w:pPr>
    </w:p>
    <w:p w:rsidR="00DF47A9" w:rsidRPr="00BD60B8" w:rsidRDefault="0019141F" w:rsidP="00BD60B8">
      <w:pPr>
        <w:numPr>
          <w:ilvl w:val="1"/>
          <w:numId w:val="1"/>
        </w:numPr>
        <w:tabs>
          <w:tab w:val="clear" w:pos="360"/>
          <w:tab w:val="num" w:pos="1080"/>
        </w:tabs>
        <w:ind w:left="1080" w:hanging="540"/>
        <w:rPr>
          <w:sz w:val="20"/>
          <w:szCs w:val="20"/>
        </w:rPr>
      </w:pPr>
      <w:r>
        <w:rPr>
          <w:sz w:val="20"/>
          <w:szCs w:val="20"/>
        </w:rPr>
        <w:t>The scope</w:t>
      </w:r>
      <w:r w:rsidR="000542A7">
        <w:rPr>
          <w:sz w:val="20"/>
          <w:szCs w:val="20"/>
        </w:rPr>
        <w:t xml:space="preserve"> of this procedure encompasses</w:t>
      </w:r>
      <w:r>
        <w:rPr>
          <w:sz w:val="20"/>
          <w:szCs w:val="20"/>
        </w:rPr>
        <w:t xml:space="preserve"> </w:t>
      </w:r>
      <w:r w:rsidR="000A0F83">
        <w:rPr>
          <w:sz w:val="20"/>
          <w:szCs w:val="20"/>
        </w:rPr>
        <w:t xml:space="preserve">steps on how </w:t>
      </w:r>
      <w:r w:rsidR="00E42E86">
        <w:rPr>
          <w:sz w:val="20"/>
          <w:szCs w:val="20"/>
        </w:rPr>
        <w:t xml:space="preserve">to </w:t>
      </w:r>
      <w:r w:rsidR="009A1952">
        <w:rPr>
          <w:sz w:val="20"/>
          <w:szCs w:val="20"/>
        </w:rPr>
        <w:t xml:space="preserve">collect the DD information </w:t>
      </w:r>
      <w:r w:rsidR="00E42E86">
        <w:rPr>
          <w:sz w:val="20"/>
          <w:szCs w:val="20"/>
        </w:rPr>
        <w:t xml:space="preserve">and </w:t>
      </w:r>
      <w:r w:rsidR="009A1952">
        <w:rPr>
          <w:sz w:val="20"/>
          <w:szCs w:val="20"/>
        </w:rPr>
        <w:t>how to present it to the Payroll department so that proper electronic DD funds are processed</w:t>
      </w:r>
      <w:r w:rsidR="00E42E86">
        <w:rPr>
          <w:sz w:val="20"/>
          <w:szCs w:val="20"/>
        </w:rPr>
        <w:t xml:space="preserve">. 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M</w:t>
      </w:r>
      <w:r w:rsidR="00F9468A">
        <w:rPr>
          <w:sz w:val="20"/>
          <w:szCs w:val="20"/>
        </w:rPr>
        <w:t>S</w:t>
      </w:r>
      <w:r w:rsidR="009A1952">
        <w:rPr>
          <w:sz w:val="20"/>
          <w:szCs w:val="20"/>
        </w:rPr>
        <w:t xml:space="preserve"> will follow the pre-noting process for all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MS n</w:t>
      </w:r>
      <w:r w:rsidR="009A1952">
        <w:rPr>
          <w:sz w:val="20"/>
          <w:szCs w:val="20"/>
        </w:rPr>
        <w:t xml:space="preserve">ew hires and EE switching of banks for DD. This process typically takes 2 payroll cycles. Sometimes the process may take less time, but HR is to instruct all EE’s of the time frames discussed above. </w:t>
      </w:r>
    </w:p>
    <w:p w:rsidR="002038E3" w:rsidRDefault="002038E3" w:rsidP="002341DC">
      <w:pPr>
        <w:ind w:left="720" w:hanging="720"/>
        <w:rPr>
          <w:b/>
          <w:sz w:val="16"/>
          <w:szCs w:val="16"/>
        </w:rPr>
      </w:pPr>
    </w:p>
    <w:p w:rsidR="00B134A8" w:rsidRDefault="00B134A8" w:rsidP="002341DC">
      <w:pPr>
        <w:ind w:left="720" w:hanging="720"/>
        <w:rPr>
          <w:b/>
          <w:sz w:val="16"/>
          <w:szCs w:val="16"/>
        </w:rPr>
      </w:pPr>
    </w:p>
    <w:p w:rsidR="00B134A8" w:rsidRPr="002341DC" w:rsidRDefault="00B134A8" w:rsidP="002341DC">
      <w:pPr>
        <w:ind w:left="720" w:hanging="720"/>
        <w:rPr>
          <w:b/>
          <w:sz w:val="16"/>
          <w:szCs w:val="16"/>
        </w:rPr>
      </w:pPr>
    </w:p>
    <w:p w:rsidR="00244649" w:rsidRPr="00D448D1" w:rsidRDefault="00E1365E" w:rsidP="00D448D1">
      <w:pPr>
        <w:numPr>
          <w:ilvl w:val="0"/>
          <w:numId w:val="1"/>
        </w:numPr>
        <w:tabs>
          <w:tab w:val="clear" w:pos="1080"/>
          <w:tab w:val="num" w:pos="540"/>
          <w:tab w:val="left" w:pos="900"/>
          <w:tab w:val="left" w:pos="1800"/>
          <w:tab w:val="left" w:pos="1980"/>
          <w:tab w:val="left" w:pos="2160"/>
        </w:tabs>
        <w:spacing w:before="240"/>
        <w:ind w:hanging="108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D13FC" w:rsidRPr="00D448D1">
        <w:rPr>
          <w:b/>
          <w:sz w:val="20"/>
          <w:szCs w:val="20"/>
        </w:rPr>
        <w:lastRenderedPageBreak/>
        <w:t>Procedure</w:t>
      </w:r>
    </w:p>
    <w:p w:rsidR="00244649" w:rsidRDefault="00244649" w:rsidP="00244649">
      <w:pPr>
        <w:tabs>
          <w:tab w:val="left" w:pos="720"/>
          <w:tab w:val="left" w:pos="900"/>
          <w:tab w:val="left" w:pos="1980"/>
          <w:tab w:val="left" w:pos="2160"/>
        </w:tabs>
        <w:rPr>
          <w:b/>
          <w:sz w:val="20"/>
          <w:szCs w:val="20"/>
        </w:rPr>
      </w:pPr>
    </w:p>
    <w:p w:rsidR="009A1952" w:rsidRDefault="00E42E86" w:rsidP="00C14D32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 w:rsidRPr="000E7311">
        <w:rPr>
          <w:sz w:val="20"/>
          <w:szCs w:val="20"/>
        </w:rPr>
        <w:t xml:space="preserve">When a </w:t>
      </w:r>
      <w:r w:rsidR="009A1952">
        <w:rPr>
          <w:sz w:val="20"/>
          <w:szCs w:val="20"/>
        </w:rPr>
        <w:t xml:space="preserve">new hire is brought aboard, it will either be an External hire or an Internal hire, most likely the latter being a temp to hire situation. All EE’s must present to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M</w:t>
      </w:r>
      <w:r w:rsidR="00F9468A">
        <w:rPr>
          <w:sz w:val="20"/>
          <w:szCs w:val="20"/>
        </w:rPr>
        <w:t>S</w:t>
      </w:r>
      <w:r w:rsidR="009A1952">
        <w:rPr>
          <w:sz w:val="20"/>
          <w:szCs w:val="20"/>
        </w:rPr>
        <w:t xml:space="preserve"> visual evidence of their DD selection. We will NOT accept any DD information without visual documentation. EE’s will be allowed to </w:t>
      </w:r>
      <w:r w:rsidR="009C2FCD">
        <w:rPr>
          <w:sz w:val="20"/>
          <w:szCs w:val="20"/>
        </w:rPr>
        <w:t>voluntarily enroll into the DD program. Should the EE enroll into the program, then the following must occur</w:t>
      </w:r>
      <w:r w:rsidR="009A1952">
        <w:rPr>
          <w:sz w:val="20"/>
          <w:szCs w:val="20"/>
        </w:rPr>
        <w:t xml:space="preserve">. </w:t>
      </w:r>
    </w:p>
    <w:p w:rsidR="000E7311" w:rsidRDefault="009A1952" w:rsidP="009A1952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External hires—HR will be responsible for informing all external hires of the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MS</w:t>
      </w:r>
      <w:r>
        <w:rPr>
          <w:sz w:val="20"/>
          <w:szCs w:val="20"/>
        </w:rPr>
        <w:t xml:space="preserve"> DD process. HR will be responsible for informing them if they can’t provide this upon their hire date, they will not be employed until such documentation is presented.</w:t>
      </w:r>
    </w:p>
    <w:p w:rsidR="000E7311" w:rsidRDefault="009A1952" w:rsidP="000E7311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Internal hires—HR will be responsible for reminding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MS</w:t>
      </w:r>
      <w:r>
        <w:rPr>
          <w:sz w:val="20"/>
          <w:szCs w:val="20"/>
        </w:rPr>
        <w:t xml:space="preserve"> Supervisors/Managers of the DD requirement when applicants are entering the hiring process. </w:t>
      </w:r>
      <w:r w:rsidR="00F9468A">
        <w:rPr>
          <w:sz w:val="20"/>
          <w:szCs w:val="20"/>
        </w:rPr>
        <w:t>T</w:t>
      </w:r>
      <w:r w:rsidR="0045581A">
        <w:rPr>
          <w:sz w:val="20"/>
          <w:szCs w:val="20"/>
        </w:rPr>
        <w:t>MS</w:t>
      </w:r>
      <w:r>
        <w:rPr>
          <w:sz w:val="20"/>
          <w:szCs w:val="20"/>
        </w:rPr>
        <w:t xml:space="preserve"> Supervisors/Managers will be responsible for ensuring that applicants have this documentation prior to them completing the new hire paperwork. Again, internal applicants will not be hired without this documentation. </w:t>
      </w:r>
    </w:p>
    <w:p w:rsidR="000E7311" w:rsidRDefault="000E7311" w:rsidP="000E7311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0E7311" w:rsidRDefault="000E7311" w:rsidP="000E7311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sz w:val="20"/>
          <w:szCs w:val="20"/>
        </w:rPr>
      </w:pPr>
    </w:p>
    <w:p w:rsidR="00AB54ED" w:rsidRDefault="000E7311" w:rsidP="00AB54ED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="00AB54ED">
        <w:rPr>
          <w:sz w:val="20"/>
          <w:szCs w:val="20"/>
        </w:rPr>
        <w:t xml:space="preserve">the </w:t>
      </w:r>
      <w:r w:rsidR="0045581A">
        <w:rPr>
          <w:sz w:val="20"/>
          <w:szCs w:val="20"/>
        </w:rPr>
        <w:t>TMS</w:t>
      </w:r>
      <w:r w:rsidR="00AB54ED">
        <w:rPr>
          <w:sz w:val="20"/>
          <w:szCs w:val="20"/>
        </w:rPr>
        <w:t xml:space="preserve"> DD form from the server. The applicant/EE can provide 2 types of documentation. A voided or processed check or a direct deposit bank informational form. </w:t>
      </w:r>
      <w:r w:rsidR="0045581A">
        <w:rPr>
          <w:sz w:val="20"/>
          <w:szCs w:val="20"/>
        </w:rPr>
        <w:t>TMS</w:t>
      </w:r>
      <w:r w:rsidR="0045581A">
        <w:rPr>
          <w:sz w:val="20"/>
          <w:szCs w:val="20"/>
        </w:rPr>
        <w:t xml:space="preserve"> </w:t>
      </w:r>
      <w:r w:rsidR="00AB54ED">
        <w:rPr>
          <w:sz w:val="20"/>
          <w:szCs w:val="20"/>
        </w:rPr>
        <w:t>will not accept hand written bank information from the applicant / EE.</w:t>
      </w: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102879" w:rsidRDefault="00102879" w:rsidP="00AB54ED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1602105</wp:posOffset>
                </wp:positionV>
                <wp:extent cx="552450" cy="0"/>
                <wp:effectExtent l="6350" t="60325" r="22225" b="53975"/>
                <wp:wrapNone/>
                <wp:docPr id="6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B2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0" o:spid="_x0000_s1026" type="#_x0000_t32" style="position:absolute;margin-left:180.2pt;margin-top:126.15pt;width:4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iINw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" strokecolor="red">
                <v:stroke endarrow="block"/>
              </v:shape>
            </w:pict>
          </mc:Fallback>
        </mc:AlternateContent>
      </w:r>
      <w:r w:rsidR="00AB54ED" w:rsidRPr="00AB54ED">
        <w:rPr>
          <w:color w:val="0000CC"/>
          <w:sz w:val="20"/>
          <w:szCs w:val="20"/>
        </w:rPr>
        <w:t>Screenshot below shows a valid example of a voided/sample check being used.</w:t>
      </w:r>
      <w:r w:rsidR="00AB54ED">
        <w:rPr>
          <w:sz w:val="20"/>
          <w:szCs w:val="20"/>
        </w:rPr>
        <w:t xml:space="preserve"> The sample check must be taped to the top of the </w:t>
      </w:r>
      <w:r w:rsidR="0045581A">
        <w:rPr>
          <w:sz w:val="20"/>
          <w:szCs w:val="20"/>
        </w:rPr>
        <w:t>TMS</w:t>
      </w:r>
      <w:r w:rsidR="0045581A">
        <w:rPr>
          <w:sz w:val="20"/>
          <w:szCs w:val="20"/>
        </w:rPr>
        <w:t xml:space="preserve"> </w:t>
      </w:r>
      <w:r w:rsidR="00AB54ED">
        <w:rPr>
          <w:sz w:val="20"/>
          <w:szCs w:val="20"/>
        </w:rPr>
        <w:t xml:space="preserve">DD form. </w:t>
      </w:r>
    </w:p>
    <w:p w:rsidR="00102879" w:rsidRP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ind w:left="2160"/>
        <w:rPr>
          <w:sz w:val="20"/>
          <w:szCs w:val="20"/>
        </w:rPr>
      </w:pPr>
    </w:p>
    <w:p w:rsidR="00D341A0" w:rsidRP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ind w:left="2160"/>
        <w:rPr>
          <w:sz w:val="20"/>
          <w:szCs w:val="20"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>
            <wp:extent cx="5173980" cy="3063240"/>
            <wp:effectExtent l="19050" t="19050" r="26670" b="2286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3063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</w:p>
    <w:p w:rsidR="00102879" w:rsidRPr="00102879" w:rsidRDefault="00102879" w:rsidP="00102879">
      <w:p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</w:p>
    <w:p w:rsidR="00D341A0" w:rsidRPr="00102879" w:rsidRDefault="00AB54ED" w:rsidP="00102879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sz w:val="20"/>
          <w:szCs w:val="20"/>
        </w:rPr>
      </w:pPr>
      <w:r w:rsidRPr="00102879">
        <w:rPr>
          <w:noProof/>
          <w:color w:val="0000CC"/>
          <w:sz w:val="20"/>
          <w:szCs w:val="20"/>
        </w:rPr>
        <w:t xml:space="preserve">Screenshot below shows a valid example </w:t>
      </w:r>
      <w:r w:rsidR="00774DBB" w:rsidRPr="00102879">
        <w:rPr>
          <w:noProof/>
          <w:color w:val="0000CC"/>
          <w:sz w:val="20"/>
          <w:szCs w:val="20"/>
        </w:rPr>
        <w:t>of acceptable documentation an applicant/EE may present in leui of a voided check.</w:t>
      </w:r>
      <w:r w:rsidR="00774DBB" w:rsidRPr="00102879">
        <w:rPr>
          <w:noProof/>
          <w:sz w:val="20"/>
          <w:szCs w:val="20"/>
        </w:rPr>
        <w:t xml:space="preserve"> Also attached is a link to the form</w:t>
      </w:r>
      <w:r w:rsidR="00637531" w:rsidRPr="00102879">
        <w:rPr>
          <w:noProof/>
          <w:sz w:val="20"/>
          <w:szCs w:val="20"/>
        </w:rPr>
        <w:t xml:space="preserve">. </w:t>
      </w:r>
      <w:hyperlink r:id="rId8" w:history="1">
        <w:r w:rsidR="0045581A">
          <w:rPr>
            <w:rStyle w:val="Hyperlink"/>
            <w:noProof/>
            <w:sz w:val="20"/>
            <w:szCs w:val="20"/>
          </w:rPr>
          <w:t>TMS Direct Deposit Form</w:t>
        </w:r>
      </w:hyperlink>
    </w:p>
    <w:p w:rsidR="00637531" w:rsidRDefault="00637531" w:rsidP="00637531">
      <w:pPr>
        <w:tabs>
          <w:tab w:val="left" w:pos="540"/>
          <w:tab w:val="left" w:pos="720"/>
          <w:tab w:val="left" w:pos="2160"/>
          <w:tab w:val="left" w:pos="2790"/>
        </w:tabs>
        <w:ind w:left="2880"/>
        <w:rPr>
          <w:noProof/>
          <w:sz w:val="20"/>
          <w:szCs w:val="20"/>
        </w:rPr>
      </w:pPr>
    </w:p>
    <w:p w:rsidR="00637531" w:rsidRPr="00AB54ED" w:rsidRDefault="00EE22AC" w:rsidP="00637531">
      <w:pPr>
        <w:tabs>
          <w:tab w:val="left" w:pos="540"/>
          <w:tab w:val="left" w:pos="720"/>
          <w:tab w:val="left" w:pos="2160"/>
          <w:tab w:val="left" w:pos="2790"/>
        </w:tabs>
        <w:ind w:left="288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90B5C2" wp14:editId="6A9984B4">
                <wp:simplePos x="0" y="0"/>
                <wp:positionH relativeFrom="column">
                  <wp:posOffset>1914525</wp:posOffset>
                </wp:positionH>
                <wp:positionV relativeFrom="paragraph">
                  <wp:posOffset>1894205</wp:posOffset>
                </wp:positionV>
                <wp:extent cx="1819275" cy="1685925"/>
                <wp:effectExtent l="13335" t="6350" r="5715" b="12700"/>
                <wp:wrapNone/>
                <wp:docPr id="3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685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1B6D0" id="Oval 298" o:spid="_x0000_s1026" style="position:absolute;margin-left:150.75pt;margin-top:149.15pt;width:143.25pt;height:13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" filled="f" strokecolor="red"/>
            </w:pict>
          </mc:Fallback>
        </mc:AlternateContent>
      </w:r>
      <w:r w:rsidR="00102879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6F6F0B" wp14:editId="3B03D588">
                <wp:simplePos x="0" y="0"/>
                <wp:positionH relativeFrom="column">
                  <wp:posOffset>93345</wp:posOffset>
                </wp:positionH>
                <wp:positionV relativeFrom="paragraph">
                  <wp:posOffset>1894205</wp:posOffset>
                </wp:positionV>
                <wp:extent cx="1645920" cy="1543050"/>
                <wp:effectExtent l="11430" t="6350" r="952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43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31" w:rsidRDefault="00637531">
                            <w:r>
                              <w:t xml:space="preserve">Document must be on a financial letterhead. The information in the RED CIRCLE to the right must be documented.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6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149.15pt;width:129.6pt;height:12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" fillcolor="#f2f2f2" strokecolor="red">
                <v:textbox>
                  <w:txbxContent>
                    <w:p w:rsidR="00637531" w:rsidRDefault="00637531">
                      <w:r>
                        <w:t xml:space="preserve">Document must be on a financial letterhead. The information in the RED CIRCLE to the right must be documented.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879">
        <w:rPr>
          <w:noProof/>
        </w:rPr>
        <w:drawing>
          <wp:inline distT="0" distB="0" distL="0" distR="0">
            <wp:extent cx="4983480" cy="3505200"/>
            <wp:effectExtent l="19050" t="19050" r="2667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5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7531" w:rsidRDefault="00637531" w:rsidP="00637531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noProof/>
          <w:sz w:val="20"/>
          <w:szCs w:val="20"/>
        </w:rPr>
      </w:pPr>
    </w:p>
    <w:p w:rsidR="00D341A0" w:rsidRPr="008906C4" w:rsidRDefault="00D341A0" w:rsidP="00D341A0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noProof/>
          <w:sz w:val="20"/>
          <w:szCs w:val="20"/>
        </w:rPr>
      </w:pPr>
      <w:r w:rsidRPr="008906C4">
        <w:rPr>
          <w:noProof/>
          <w:sz w:val="20"/>
          <w:szCs w:val="20"/>
        </w:rPr>
        <w:t xml:space="preserve"> </w:t>
      </w:r>
      <w:r w:rsidR="00637531">
        <w:rPr>
          <w:noProof/>
          <w:sz w:val="20"/>
          <w:szCs w:val="20"/>
        </w:rPr>
        <w:t xml:space="preserve">For applicant’s/ EE’s that have financial instutions such as the Money Network or Greendot, they must obtain information as outlined above. No exceptions. </w:t>
      </w:r>
    </w:p>
    <w:p w:rsidR="00D341A0" w:rsidRPr="008906C4" w:rsidRDefault="00D341A0" w:rsidP="00D341A0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noProof/>
          <w:sz w:val="20"/>
          <w:szCs w:val="20"/>
        </w:rPr>
      </w:pPr>
    </w:p>
    <w:p w:rsidR="00D341A0" w:rsidRPr="008906C4" w:rsidRDefault="00D341A0" w:rsidP="00D341A0">
      <w:pPr>
        <w:tabs>
          <w:tab w:val="left" w:pos="540"/>
          <w:tab w:val="left" w:pos="720"/>
          <w:tab w:val="left" w:pos="1980"/>
          <w:tab w:val="left" w:pos="2160"/>
        </w:tabs>
        <w:ind w:left="900"/>
        <w:rPr>
          <w:noProof/>
          <w:sz w:val="20"/>
          <w:szCs w:val="20"/>
        </w:rPr>
      </w:pPr>
    </w:p>
    <w:p w:rsidR="00146530" w:rsidRPr="008906C4" w:rsidRDefault="0045581A" w:rsidP="00D341A0">
      <w:pPr>
        <w:numPr>
          <w:ilvl w:val="1"/>
          <w:numId w:val="1"/>
        </w:numPr>
        <w:tabs>
          <w:tab w:val="clear" w:pos="360"/>
          <w:tab w:val="left" w:pos="540"/>
          <w:tab w:val="left" w:pos="720"/>
          <w:tab w:val="num" w:pos="900"/>
          <w:tab w:val="left" w:pos="1980"/>
          <w:tab w:val="left" w:pos="2160"/>
        </w:tabs>
        <w:ind w:left="900"/>
        <w:rPr>
          <w:noProof/>
          <w:sz w:val="20"/>
          <w:szCs w:val="20"/>
        </w:rPr>
      </w:pPr>
      <w:r>
        <w:rPr>
          <w:sz w:val="20"/>
          <w:szCs w:val="20"/>
        </w:rPr>
        <w:t>TMS</w:t>
      </w:r>
      <w:r>
        <w:rPr>
          <w:noProof/>
          <w:sz w:val="20"/>
          <w:szCs w:val="20"/>
        </w:rPr>
        <w:t xml:space="preserve"> </w:t>
      </w:r>
      <w:r w:rsidR="00637531">
        <w:rPr>
          <w:noProof/>
          <w:sz w:val="20"/>
          <w:szCs w:val="20"/>
        </w:rPr>
        <w:t>Financial Institution Partnerships.</w:t>
      </w:r>
      <w:r w:rsidR="00D341A0" w:rsidRPr="008906C4">
        <w:rPr>
          <w:noProof/>
          <w:sz w:val="20"/>
          <w:szCs w:val="20"/>
        </w:rPr>
        <w:t xml:space="preserve">  </w:t>
      </w:r>
    </w:p>
    <w:p w:rsidR="00D341A0" w:rsidRPr="008906C4" w:rsidRDefault="0045581A" w:rsidP="00146530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noProof/>
          <w:sz w:val="20"/>
          <w:szCs w:val="20"/>
        </w:rPr>
      </w:pPr>
      <w:r>
        <w:rPr>
          <w:sz w:val="20"/>
          <w:szCs w:val="20"/>
        </w:rPr>
        <w:t>TMS</w:t>
      </w:r>
      <w:r>
        <w:rPr>
          <w:noProof/>
          <w:sz w:val="20"/>
          <w:szCs w:val="20"/>
        </w:rPr>
        <w:t xml:space="preserve"> </w:t>
      </w:r>
      <w:r w:rsidR="00637531">
        <w:rPr>
          <w:noProof/>
          <w:sz w:val="20"/>
          <w:szCs w:val="20"/>
        </w:rPr>
        <w:t>will reach out to local financial partners to offer applicant’s/EE’s the ability to obtain free checking accounts where ever possible</w:t>
      </w:r>
      <w:r w:rsidR="00BA6CCD">
        <w:rPr>
          <w:noProof/>
          <w:sz w:val="20"/>
          <w:szCs w:val="20"/>
        </w:rPr>
        <w:t>.</w:t>
      </w:r>
      <w:r w:rsidR="00637531">
        <w:rPr>
          <w:noProof/>
          <w:sz w:val="20"/>
          <w:szCs w:val="20"/>
        </w:rPr>
        <w:t xml:space="preserve"> </w:t>
      </w:r>
    </w:p>
    <w:p w:rsidR="005E202F" w:rsidRPr="000E7311" w:rsidRDefault="005E202F" w:rsidP="00A84442">
      <w:pPr>
        <w:numPr>
          <w:ilvl w:val="2"/>
          <w:numId w:val="1"/>
        </w:numPr>
        <w:tabs>
          <w:tab w:val="left" w:pos="540"/>
          <w:tab w:val="left" w:pos="720"/>
          <w:tab w:val="left" w:pos="1980"/>
          <w:tab w:val="left" w:pos="2160"/>
        </w:tabs>
        <w:rPr>
          <w:noProof/>
        </w:rPr>
      </w:pPr>
      <w:r>
        <w:rPr>
          <w:noProof/>
          <w:sz w:val="20"/>
          <w:szCs w:val="20"/>
        </w:rPr>
        <w:t>Th</w:t>
      </w:r>
      <w:r w:rsidR="00E46819">
        <w:rPr>
          <w:noProof/>
          <w:sz w:val="20"/>
          <w:szCs w:val="20"/>
        </w:rPr>
        <w:t>ese</w:t>
      </w:r>
      <w:r>
        <w:rPr>
          <w:noProof/>
          <w:sz w:val="20"/>
          <w:szCs w:val="20"/>
        </w:rPr>
        <w:t xml:space="preserve"> financial partnerships shall be prominent</w:t>
      </w:r>
      <w:r w:rsidR="00635F46">
        <w:rPr>
          <w:noProof/>
          <w:sz w:val="20"/>
          <w:szCs w:val="20"/>
        </w:rPr>
        <w:t>ly</w:t>
      </w:r>
      <w:r>
        <w:rPr>
          <w:noProof/>
          <w:sz w:val="20"/>
          <w:szCs w:val="20"/>
        </w:rPr>
        <w:t xml:space="preserve"> displayed in EE break areas or other high traffic EE areas at </w:t>
      </w:r>
      <w:r w:rsidR="0045581A">
        <w:rPr>
          <w:sz w:val="20"/>
          <w:szCs w:val="20"/>
        </w:rPr>
        <w:t>TMS</w:t>
      </w:r>
      <w:r w:rsidR="0045581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locations. </w:t>
      </w:r>
    </w:p>
    <w:sectPr w:rsidR="005E202F" w:rsidRPr="000E7311" w:rsidSect="000A19EB">
      <w:headerReference w:type="default" r:id="rId10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D2" w:rsidRDefault="00AD5AD2">
      <w:r>
        <w:separator/>
      </w:r>
    </w:p>
  </w:endnote>
  <w:endnote w:type="continuationSeparator" w:id="0">
    <w:p w:rsidR="00AD5AD2" w:rsidRDefault="00A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D2" w:rsidRDefault="00AD5AD2">
      <w:r>
        <w:separator/>
      </w:r>
    </w:p>
  </w:footnote>
  <w:footnote w:type="continuationSeparator" w:id="0">
    <w:p w:rsidR="00AD5AD2" w:rsidRDefault="00AD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4E" w:rsidRDefault="0045581A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49530</wp:posOffset>
          </wp:positionV>
          <wp:extent cx="1704975" cy="68199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8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3C8CD" wp14:editId="3A9B21A9">
              <wp:simplePos x="0" y="0"/>
              <wp:positionH relativeFrom="column">
                <wp:posOffset>1828800</wp:posOffset>
              </wp:positionH>
              <wp:positionV relativeFrom="paragraph">
                <wp:posOffset>45720</wp:posOffset>
              </wp:positionV>
              <wp:extent cx="5143500" cy="342900"/>
              <wp:effectExtent l="13335" t="7620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94E" w:rsidRPr="004249DB" w:rsidRDefault="00A5794E">
                          <w:pPr>
                            <w:rPr>
                              <w:b/>
                            </w:rPr>
                          </w:pP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4249DB">
                            <w:rPr>
                              <w:sz w:val="20"/>
                              <w:szCs w:val="20"/>
                            </w:rPr>
                            <w:t>Document #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71999">
                            <w:rPr>
                              <w:b/>
                            </w:rPr>
                            <w:t>HR-</w:t>
                          </w:r>
                          <w:r w:rsidR="00164595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4249DB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4A68FC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D3294E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4249DB">
                            <w:rPr>
                              <w:sz w:val="20"/>
                              <w:szCs w:val="20"/>
                            </w:rPr>
                            <w:t xml:space="preserve">Revision: </w:t>
                          </w:r>
                          <w:proofErr w:type="gramStart"/>
                          <w:r w:rsidR="00071999">
                            <w:rPr>
                              <w:b/>
                            </w:rPr>
                            <w:t>A</w:t>
                          </w:r>
                          <w:proofErr w:type="gramEnd"/>
                          <w:r w:rsidRPr="004249DB">
                            <w:rPr>
                              <w:b/>
                            </w:rPr>
                            <w:t xml:space="preserve">  </w:t>
                          </w: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D3294E"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4249DB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9DB">
                            <w:rPr>
                              <w:sz w:val="20"/>
                              <w:szCs w:val="20"/>
                            </w:rPr>
                            <w:t xml:space="preserve">Effective Date:  </w:t>
                          </w:r>
                          <w:r w:rsidR="009A1952">
                            <w:rPr>
                              <w:b/>
                            </w:rPr>
                            <w:t>8</w:t>
                          </w:r>
                          <w:r w:rsidR="00E42E86">
                            <w:rPr>
                              <w:b/>
                            </w:rPr>
                            <w:t>/</w:t>
                          </w:r>
                          <w:r w:rsidR="0045581A">
                            <w:rPr>
                              <w:b/>
                            </w:rPr>
                            <w:t>13/18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3C8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in;margin-top:3.6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" strokecolor="white">
              <v:textbox>
                <w:txbxContent>
                  <w:p w:rsidR="00A5794E" w:rsidRPr="004249DB" w:rsidRDefault="00A5794E">
                    <w:pPr>
                      <w:rPr>
                        <w:b/>
                      </w:rPr>
                    </w:pPr>
                    <w:r w:rsidRPr="004249DB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Pr="004249DB">
                      <w:rPr>
                        <w:sz w:val="20"/>
                        <w:szCs w:val="20"/>
                      </w:rPr>
                      <w:t>Document #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4249D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071999">
                      <w:rPr>
                        <w:b/>
                      </w:rPr>
                      <w:t>HR-</w:t>
                    </w:r>
                    <w:r w:rsidR="00164595">
                      <w:rPr>
                        <w:b/>
                      </w:rPr>
                      <w:t>1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4249DB">
                      <w:rPr>
                        <w:sz w:val="16"/>
                        <w:szCs w:val="16"/>
                      </w:rPr>
                      <w:t xml:space="preserve">   </w:t>
                    </w:r>
                    <w:r w:rsidR="004A68FC">
                      <w:rPr>
                        <w:sz w:val="16"/>
                        <w:szCs w:val="16"/>
                      </w:rPr>
                      <w:t xml:space="preserve">          </w:t>
                    </w:r>
                    <w:r w:rsidR="00D3294E">
                      <w:rPr>
                        <w:sz w:val="16"/>
                        <w:szCs w:val="16"/>
                      </w:rPr>
                      <w:t xml:space="preserve">          </w:t>
                    </w:r>
                    <w:r w:rsidRPr="004249DB">
                      <w:rPr>
                        <w:sz w:val="20"/>
                        <w:szCs w:val="20"/>
                      </w:rPr>
                      <w:t xml:space="preserve">Revision: </w:t>
                    </w:r>
                    <w:proofErr w:type="gramStart"/>
                    <w:r w:rsidR="00071999">
                      <w:rPr>
                        <w:b/>
                      </w:rPr>
                      <w:t>A</w:t>
                    </w:r>
                    <w:proofErr w:type="gramEnd"/>
                    <w:r w:rsidRPr="004249DB">
                      <w:rPr>
                        <w:b/>
                      </w:rPr>
                      <w:t xml:space="preserve">  </w:t>
                    </w:r>
                    <w:r w:rsidRPr="004249DB"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="00D3294E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Pr="004249D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4249DB">
                      <w:rPr>
                        <w:sz w:val="20"/>
                        <w:szCs w:val="20"/>
                      </w:rPr>
                      <w:t xml:space="preserve">Effective Date:  </w:t>
                    </w:r>
                    <w:r w:rsidR="009A1952">
                      <w:rPr>
                        <w:b/>
                      </w:rPr>
                      <w:t>8</w:t>
                    </w:r>
                    <w:r w:rsidR="00E42E86">
                      <w:rPr>
                        <w:b/>
                      </w:rPr>
                      <w:t>/</w:t>
                    </w:r>
                    <w:r w:rsidR="0045581A">
                      <w:rPr>
                        <w:b/>
                      </w:rPr>
                      <w:t>13/18</w:t>
                    </w:r>
                  </w:p>
                </w:txbxContent>
              </v:textbox>
            </v:shape>
          </w:pict>
        </mc:Fallback>
      </mc:AlternateContent>
    </w:r>
    <w:r w:rsidR="00A5794E">
      <w:t xml:space="preserve">            </w:t>
    </w:r>
  </w:p>
  <w:p w:rsidR="00A5794E" w:rsidRDefault="00A5794E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</w:pPr>
  </w:p>
  <w:p w:rsidR="00A5794E" w:rsidRPr="008C60D9" w:rsidRDefault="00A5794E" w:rsidP="00564950">
    <w:pPr>
      <w:pStyle w:val="Header"/>
      <w:pBdr>
        <w:top w:val="single" w:sz="4" w:space="5" w:color="auto"/>
        <w:left w:val="single" w:sz="4" w:space="1" w:color="auto"/>
        <w:bottom w:val="single" w:sz="4" w:space="15" w:color="auto"/>
        <w:right w:val="single" w:sz="4" w:space="1" w:color="auto"/>
      </w:pBdr>
      <w:rPr>
        <w:b/>
        <w:sz w:val="20"/>
        <w:szCs w:val="20"/>
      </w:rPr>
    </w:pPr>
    <w:r>
      <w:rPr>
        <w:sz w:val="16"/>
        <w:szCs w:val="16"/>
      </w:rPr>
      <w:t xml:space="preserve">  </w:t>
    </w:r>
    <w:r>
      <w:rPr>
        <w:sz w:val="18"/>
        <w:szCs w:val="18"/>
      </w:rPr>
      <w:t xml:space="preserve">                 </w:t>
    </w:r>
    <w:r>
      <w:rPr>
        <w:b/>
        <w:sz w:val="20"/>
        <w:szCs w:val="20"/>
      </w:rPr>
      <w:t xml:space="preserve">   </w:t>
    </w:r>
    <w:r>
      <w:rPr>
        <w:sz w:val="18"/>
        <w:szCs w:val="18"/>
      </w:rPr>
      <w:tab/>
      <w:t xml:space="preserve">                   </w:t>
    </w:r>
    <w:r w:rsidR="003F428D">
      <w:rPr>
        <w:sz w:val="18"/>
        <w:szCs w:val="18"/>
      </w:rPr>
      <w:t xml:space="preserve">                                 </w:t>
    </w:r>
    <w:r w:rsidRPr="004249DB">
      <w:rPr>
        <w:sz w:val="20"/>
        <w:szCs w:val="20"/>
      </w:rPr>
      <w:t xml:space="preserve">Title:   </w:t>
    </w:r>
    <w:r w:rsidR="0045581A">
      <w:rPr>
        <w:b/>
        <w:sz w:val="20"/>
        <w:szCs w:val="20"/>
      </w:rPr>
      <w:t>Taylor Made Sales</w:t>
    </w:r>
    <w:r w:rsidR="009A1952">
      <w:rPr>
        <w:b/>
        <w:sz w:val="20"/>
        <w:szCs w:val="20"/>
      </w:rPr>
      <w:t xml:space="preserve"> Direct Deposit Process</w:t>
    </w:r>
    <w:r w:rsidR="009A1952">
      <w:rPr>
        <w:b/>
        <w:sz w:val="20"/>
        <w:szCs w:val="20"/>
      </w:rPr>
      <w:tab/>
    </w:r>
    <w:r w:rsidR="00BD60B8">
      <w:rPr>
        <w:b/>
        <w:sz w:val="20"/>
        <w:szCs w:val="20"/>
      </w:rPr>
      <w:t xml:space="preserve">       </w:t>
    </w:r>
    <w:r w:rsidR="008C60D9">
      <w:rPr>
        <w:b/>
        <w:sz w:val="20"/>
        <w:szCs w:val="20"/>
      </w:rPr>
      <w:t xml:space="preserve">   </w:t>
    </w:r>
    <w:r w:rsidR="003F428D">
      <w:rPr>
        <w:b/>
        <w:sz w:val="20"/>
        <w:szCs w:val="20"/>
      </w:rPr>
      <w:t xml:space="preserve">   </w:t>
    </w:r>
    <w:r w:rsidR="003F428D">
      <w:rPr>
        <w:b/>
      </w:rPr>
      <w:t xml:space="preserve"> </w:t>
    </w:r>
    <w:r w:rsidR="00D3294E">
      <w:rPr>
        <w:b/>
      </w:rPr>
      <w:t xml:space="preserve">       </w:t>
    </w:r>
    <w:r w:rsidR="009A1952">
      <w:rPr>
        <w:b/>
      </w:rPr>
      <w:t xml:space="preserve">         </w:t>
    </w:r>
    <w:r w:rsidR="00D3294E">
      <w:rPr>
        <w:b/>
      </w:rPr>
      <w:t xml:space="preserve"> </w:t>
    </w:r>
    <w:r w:rsidRPr="004249DB">
      <w:rPr>
        <w:sz w:val="20"/>
        <w:szCs w:val="20"/>
      </w:rPr>
      <w:t xml:space="preserve">Page </w:t>
    </w:r>
    <w:r w:rsidRPr="004249DB">
      <w:rPr>
        <w:sz w:val="20"/>
        <w:szCs w:val="20"/>
      </w:rPr>
      <w:fldChar w:fldCharType="begin"/>
    </w:r>
    <w:r w:rsidRPr="004249DB">
      <w:rPr>
        <w:sz w:val="20"/>
        <w:szCs w:val="20"/>
      </w:rPr>
      <w:instrText xml:space="preserve"> PAGE </w:instrText>
    </w:r>
    <w:r w:rsidRPr="004249DB">
      <w:rPr>
        <w:sz w:val="20"/>
        <w:szCs w:val="20"/>
      </w:rPr>
      <w:fldChar w:fldCharType="separate"/>
    </w:r>
    <w:r w:rsidR="00C45A5E">
      <w:rPr>
        <w:noProof/>
        <w:sz w:val="20"/>
        <w:szCs w:val="20"/>
      </w:rPr>
      <w:t>3</w:t>
    </w:r>
    <w:r w:rsidRPr="004249DB">
      <w:rPr>
        <w:sz w:val="20"/>
        <w:szCs w:val="20"/>
      </w:rPr>
      <w:fldChar w:fldCharType="end"/>
    </w:r>
    <w:r w:rsidRPr="004249DB">
      <w:rPr>
        <w:sz w:val="20"/>
        <w:szCs w:val="20"/>
      </w:rPr>
      <w:t xml:space="preserve"> of </w:t>
    </w:r>
    <w:r w:rsidRPr="004249DB">
      <w:rPr>
        <w:sz w:val="20"/>
        <w:szCs w:val="20"/>
      </w:rPr>
      <w:fldChar w:fldCharType="begin"/>
    </w:r>
    <w:r w:rsidRPr="004249DB">
      <w:rPr>
        <w:sz w:val="20"/>
        <w:szCs w:val="20"/>
      </w:rPr>
      <w:instrText xml:space="preserve"> NUMPAGES </w:instrText>
    </w:r>
    <w:r w:rsidRPr="004249DB">
      <w:rPr>
        <w:sz w:val="20"/>
        <w:szCs w:val="20"/>
      </w:rPr>
      <w:fldChar w:fldCharType="separate"/>
    </w:r>
    <w:r w:rsidR="00C45A5E">
      <w:rPr>
        <w:noProof/>
        <w:sz w:val="20"/>
        <w:szCs w:val="20"/>
      </w:rPr>
      <w:t>3</w:t>
    </w:r>
    <w:r w:rsidRPr="004249DB">
      <w:rPr>
        <w:sz w:val="20"/>
        <w:szCs w:val="20"/>
      </w:rPr>
      <w:fldChar w:fldCharType="end"/>
    </w:r>
    <w:r w:rsidR="00D3294E">
      <w:rPr>
        <w:sz w:val="20"/>
        <w:szCs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8A2"/>
    <w:multiLevelType w:val="hybridMultilevel"/>
    <w:tmpl w:val="7ED43104"/>
    <w:lvl w:ilvl="0" w:tplc="17F4402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D60E12"/>
    <w:multiLevelType w:val="hybridMultilevel"/>
    <w:tmpl w:val="3142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60F"/>
    <w:multiLevelType w:val="multilevel"/>
    <w:tmpl w:val="5080A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 w15:restartNumberingAfterBreak="0">
    <w:nsid w:val="0C363368"/>
    <w:multiLevelType w:val="hybridMultilevel"/>
    <w:tmpl w:val="7478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35E"/>
    <w:multiLevelType w:val="multilevel"/>
    <w:tmpl w:val="6556164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0791ED8"/>
    <w:multiLevelType w:val="hybridMultilevel"/>
    <w:tmpl w:val="DA30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F9C"/>
    <w:multiLevelType w:val="hybridMultilevel"/>
    <w:tmpl w:val="44609EDA"/>
    <w:lvl w:ilvl="0" w:tplc="A95CE1E8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D369B1"/>
    <w:multiLevelType w:val="hybridMultilevel"/>
    <w:tmpl w:val="74F0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E93"/>
    <w:multiLevelType w:val="multilevel"/>
    <w:tmpl w:val="BAFABD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 w15:restartNumberingAfterBreak="0">
    <w:nsid w:val="27925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F37E8"/>
    <w:multiLevelType w:val="hybridMultilevel"/>
    <w:tmpl w:val="DF9C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0927"/>
    <w:multiLevelType w:val="hybridMultilevel"/>
    <w:tmpl w:val="B0BE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607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DE7C9D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4" w15:restartNumberingAfterBreak="0">
    <w:nsid w:val="60B66E63"/>
    <w:multiLevelType w:val="hybridMultilevel"/>
    <w:tmpl w:val="74F0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0334"/>
    <w:multiLevelType w:val="hybridMultilevel"/>
    <w:tmpl w:val="7ED43104"/>
    <w:lvl w:ilvl="0" w:tplc="17F4402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8A71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2A3514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8" w15:restartNumberingAfterBreak="0">
    <w:nsid w:val="6D2D15E6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9" w15:restartNumberingAfterBreak="0">
    <w:nsid w:val="6E172EC9"/>
    <w:multiLevelType w:val="multilevel"/>
    <w:tmpl w:val="0064373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0" w15:restartNumberingAfterBreak="0">
    <w:nsid w:val="738A39E7"/>
    <w:multiLevelType w:val="hybridMultilevel"/>
    <w:tmpl w:val="086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2BB3"/>
    <w:multiLevelType w:val="hybridMultilevel"/>
    <w:tmpl w:val="D7A2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E4EDD"/>
    <w:multiLevelType w:val="hybridMultilevel"/>
    <w:tmpl w:val="849E2CEC"/>
    <w:lvl w:ilvl="0" w:tplc="1E420AB0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6"/>
  </w:num>
  <w:num w:numId="7">
    <w:abstractNumId w:val="12"/>
  </w:num>
  <w:num w:numId="8">
    <w:abstractNumId w:val="9"/>
  </w:num>
  <w:num w:numId="9">
    <w:abstractNumId w:val="5"/>
  </w:num>
  <w:num w:numId="10">
    <w:abstractNumId w:val="20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  <w:num w:numId="17">
    <w:abstractNumId w:val="19"/>
  </w:num>
  <w:num w:numId="18">
    <w:abstractNumId w:val="22"/>
  </w:num>
  <w:num w:numId="19">
    <w:abstractNumId w:val="21"/>
  </w:num>
  <w:num w:numId="20">
    <w:abstractNumId w:val="11"/>
  </w:num>
  <w:num w:numId="21">
    <w:abstractNumId w:val="6"/>
  </w:num>
  <w:num w:numId="22">
    <w:abstractNumId w:val="18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F9"/>
    <w:rsid w:val="000078FA"/>
    <w:rsid w:val="00010A35"/>
    <w:rsid w:val="000156B5"/>
    <w:rsid w:val="000162BF"/>
    <w:rsid w:val="000164BD"/>
    <w:rsid w:val="00025760"/>
    <w:rsid w:val="00026D07"/>
    <w:rsid w:val="00053F3E"/>
    <w:rsid w:val="000542A7"/>
    <w:rsid w:val="00060989"/>
    <w:rsid w:val="00062178"/>
    <w:rsid w:val="000627B7"/>
    <w:rsid w:val="00065DAB"/>
    <w:rsid w:val="00067D7B"/>
    <w:rsid w:val="00071999"/>
    <w:rsid w:val="00092471"/>
    <w:rsid w:val="000A0770"/>
    <w:rsid w:val="000A0F83"/>
    <w:rsid w:val="000A19EB"/>
    <w:rsid w:val="000A3151"/>
    <w:rsid w:val="000A3E83"/>
    <w:rsid w:val="000B4396"/>
    <w:rsid w:val="000B559E"/>
    <w:rsid w:val="000C496E"/>
    <w:rsid w:val="000C7264"/>
    <w:rsid w:val="000D13FC"/>
    <w:rsid w:val="000D494F"/>
    <w:rsid w:val="000E7311"/>
    <w:rsid w:val="000F2CF9"/>
    <w:rsid w:val="00102879"/>
    <w:rsid w:val="00106E3B"/>
    <w:rsid w:val="00123030"/>
    <w:rsid w:val="00143656"/>
    <w:rsid w:val="00144875"/>
    <w:rsid w:val="00146530"/>
    <w:rsid w:val="00164595"/>
    <w:rsid w:val="00170642"/>
    <w:rsid w:val="00177BAE"/>
    <w:rsid w:val="00177D65"/>
    <w:rsid w:val="001814E9"/>
    <w:rsid w:val="0019141F"/>
    <w:rsid w:val="001A2451"/>
    <w:rsid w:val="001A72D7"/>
    <w:rsid w:val="001B1E30"/>
    <w:rsid w:val="001B4197"/>
    <w:rsid w:val="001B6CBE"/>
    <w:rsid w:val="001C3DCA"/>
    <w:rsid w:val="001C4C0F"/>
    <w:rsid w:val="001D15A1"/>
    <w:rsid w:val="001F44C3"/>
    <w:rsid w:val="001F4C95"/>
    <w:rsid w:val="00203246"/>
    <w:rsid w:val="002038E3"/>
    <w:rsid w:val="002275CF"/>
    <w:rsid w:val="00227C2C"/>
    <w:rsid w:val="00232090"/>
    <w:rsid w:val="002341DC"/>
    <w:rsid w:val="0023473D"/>
    <w:rsid w:val="00244649"/>
    <w:rsid w:val="002510D0"/>
    <w:rsid w:val="00257514"/>
    <w:rsid w:val="0027112E"/>
    <w:rsid w:val="00276CA7"/>
    <w:rsid w:val="0029245B"/>
    <w:rsid w:val="002A188F"/>
    <w:rsid w:val="002A3F24"/>
    <w:rsid w:val="002A6F49"/>
    <w:rsid w:val="00317B03"/>
    <w:rsid w:val="00331C65"/>
    <w:rsid w:val="0034145C"/>
    <w:rsid w:val="00345C3B"/>
    <w:rsid w:val="003523A6"/>
    <w:rsid w:val="00354A7D"/>
    <w:rsid w:val="0035552F"/>
    <w:rsid w:val="003604BB"/>
    <w:rsid w:val="003649C3"/>
    <w:rsid w:val="00367661"/>
    <w:rsid w:val="0037012F"/>
    <w:rsid w:val="0037210C"/>
    <w:rsid w:val="0037396D"/>
    <w:rsid w:val="00375E2E"/>
    <w:rsid w:val="00396626"/>
    <w:rsid w:val="003A1701"/>
    <w:rsid w:val="003A38F9"/>
    <w:rsid w:val="003A6DD1"/>
    <w:rsid w:val="003D0B53"/>
    <w:rsid w:val="003E30DE"/>
    <w:rsid w:val="003F12AE"/>
    <w:rsid w:val="003F24A0"/>
    <w:rsid w:val="003F34BC"/>
    <w:rsid w:val="003F428D"/>
    <w:rsid w:val="003F77D1"/>
    <w:rsid w:val="004010AB"/>
    <w:rsid w:val="0042223F"/>
    <w:rsid w:val="004249DB"/>
    <w:rsid w:val="00434C7B"/>
    <w:rsid w:val="00435707"/>
    <w:rsid w:val="00442484"/>
    <w:rsid w:val="0045581A"/>
    <w:rsid w:val="00472AC0"/>
    <w:rsid w:val="004734E7"/>
    <w:rsid w:val="0048438F"/>
    <w:rsid w:val="004854E7"/>
    <w:rsid w:val="004A127B"/>
    <w:rsid w:val="004A68FC"/>
    <w:rsid w:val="004B0C04"/>
    <w:rsid w:val="004C5016"/>
    <w:rsid w:val="005130E6"/>
    <w:rsid w:val="00517C7E"/>
    <w:rsid w:val="00524075"/>
    <w:rsid w:val="005308CF"/>
    <w:rsid w:val="00531A9F"/>
    <w:rsid w:val="005361D3"/>
    <w:rsid w:val="005518C6"/>
    <w:rsid w:val="00555DFE"/>
    <w:rsid w:val="00564950"/>
    <w:rsid w:val="00567A9A"/>
    <w:rsid w:val="0057634D"/>
    <w:rsid w:val="00583564"/>
    <w:rsid w:val="00597752"/>
    <w:rsid w:val="005A3A42"/>
    <w:rsid w:val="005A3A43"/>
    <w:rsid w:val="005B2215"/>
    <w:rsid w:val="005B7A15"/>
    <w:rsid w:val="005C3042"/>
    <w:rsid w:val="005C527F"/>
    <w:rsid w:val="005C5BAC"/>
    <w:rsid w:val="005D0581"/>
    <w:rsid w:val="005D060E"/>
    <w:rsid w:val="005D12F4"/>
    <w:rsid w:val="005D6C08"/>
    <w:rsid w:val="005E202F"/>
    <w:rsid w:val="005F019B"/>
    <w:rsid w:val="0060257D"/>
    <w:rsid w:val="00611645"/>
    <w:rsid w:val="006142F5"/>
    <w:rsid w:val="00614365"/>
    <w:rsid w:val="00614DF1"/>
    <w:rsid w:val="00617078"/>
    <w:rsid w:val="00620825"/>
    <w:rsid w:val="00623599"/>
    <w:rsid w:val="00627EFD"/>
    <w:rsid w:val="00635F46"/>
    <w:rsid w:val="00637531"/>
    <w:rsid w:val="00651510"/>
    <w:rsid w:val="00666457"/>
    <w:rsid w:val="006976D7"/>
    <w:rsid w:val="006A4BA7"/>
    <w:rsid w:val="006B3463"/>
    <w:rsid w:val="006B5040"/>
    <w:rsid w:val="006D1FBC"/>
    <w:rsid w:val="006F6967"/>
    <w:rsid w:val="00753183"/>
    <w:rsid w:val="007657ED"/>
    <w:rsid w:val="0077421C"/>
    <w:rsid w:val="00774DBB"/>
    <w:rsid w:val="00780AAD"/>
    <w:rsid w:val="007853A2"/>
    <w:rsid w:val="00796F8A"/>
    <w:rsid w:val="007C52BA"/>
    <w:rsid w:val="007E2367"/>
    <w:rsid w:val="00802FFB"/>
    <w:rsid w:val="0080340A"/>
    <w:rsid w:val="008052BE"/>
    <w:rsid w:val="0080686B"/>
    <w:rsid w:val="008117C6"/>
    <w:rsid w:val="00812A64"/>
    <w:rsid w:val="00814A51"/>
    <w:rsid w:val="008308D2"/>
    <w:rsid w:val="00830C1D"/>
    <w:rsid w:val="00835115"/>
    <w:rsid w:val="00842D97"/>
    <w:rsid w:val="00850BCC"/>
    <w:rsid w:val="00852188"/>
    <w:rsid w:val="0086178B"/>
    <w:rsid w:val="008620EB"/>
    <w:rsid w:val="00874DDF"/>
    <w:rsid w:val="0087740A"/>
    <w:rsid w:val="008906C4"/>
    <w:rsid w:val="00892CFD"/>
    <w:rsid w:val="00896B5B"/>
    <w:rsid w:val="008A105E"/>
    <w:rsid w:val="008B1A56"/>
    <w:rsid w:val="008C4143"/>
    <w:rsid w:val="008C60D9"/>
    <w:rsid w:val="008D0636"/>
    <w:rsid w:val="008D2789"/>
    <w:rsid w:val="008F43BB"/>
    <w:rsid w:val="00902D09"/>
    <w:rsid w:val="0091107E"/>
    <w:rsid w:val="0091361E"/>
    <w:rsid w:val="009140E8"/>
    <w:rsid w:val="00920656"/>
    <w:rsid w:val="009249FA"/>
    <w:rsid w:val="00927CBE"/>
    <w:rsid w:val="00930E03"/>
    <w:rsid w:val="00931236"/>
    <w:rsid w:val="009344E4"/>
    <w:rsid w:val="00934CE5"/>
    <w:rsid w:val="00941545"/>
    <w:rsid w:val="00946AA5"/>
    <w:rsid w:val="009516CE"/>
    <w:rsid w:val="0095544F"/>
    <w:rsid w:val="00982F69"/>
    <w:rsid w:val="0099226F"/>
    <w:rsid w:val="009A1952"/>
    <w:rsid w:val="009A4DBD"/>
    <w:rsid w:val="009C1A25"/>
    <w:rsid w:val="009C2FCD"/>
    <w:rsid w:val="009C34AC"/>
    <w:rsid w:val="009C3DAD"/>
    <w:rsid w:val="009E35D4"/>
    <w:rsid w:val="009E3E03"/>
    <w:rsid w:val="009E4435"/>
    <w:rsid w:val="009F4532"/>
    <w:rsid w:val="00A0783C"/>
    <w:rsid w:val="00A13966"/>
    <w:rsid w:val="00A253CD"/>
    <w:rsid w:val="00A25623"/>
    <w:rsid w:val="00A27025"/>
    <w:rsid w:val="00A410A9"/>
    <w:rsid w:val="00A4404E"/>
    <w:rsid w:val="00A45F84"/>
    <w:rsid w:val="00A4650B"/>
    <w:rsid w:val="00A5794E"/>
    <w:rsid w:val="00A84442"/>
    <w:rsid w:val="00A92ECE"/>
    <w:rsid w:val="00AA274B"/>
    <w:rsid w:val="00AB54ED"/>
    <w:rsid w:val="00AD538C"/>
    <w:rsid w:val="00AD5AD2"/>
    <w:rsid w:val="00AE251F"/>
    <w:rsid w:val="00AE3283"/>
    <w:rsid w:val="00AE4D38"/>
    <w:rsid w:val="00AE5478"/>
    <w:rsid w:val="00AE7F8E"/>
    <w:rsid w:val="00AE7FCA"/>
    <w:rsid w:val="00AF15AB"/>
    <w:rsid w:val="00B026CC"/>
    <w:rsid w:val="00B0757F"/>
    <w:rsid w:val="00B07A35"/>
    <w:rsid w:val="00B134A8"/>
    <w:rsid w:val="00B14E75"/>
    <w:rsid w:val="00B1601C"/>
    <w:rsid w:val="00B16946"/>
    <w:rsid w:val="00B42E8B"/>
    <w:rsid w:val="00B4329B"/>
    <w:rsid w:val="00B713DE"/>
    <w:rsid w:val="00B74EA5"/>
    <w:rsid w:val="00BA3624"/>
    <w:rsid w:val="00BA6369"/>
    <w:rsid w:val="00BA6CCD"/>
    <w:rsid w:val="00BB43ED"/>
    <w:rsid w:val="00BC293E"/>
    <w:rsid w:val="00BC6B8C"/>
    <w:rsid w:val="00BD39FD"/>
    <w:rsid w:val="00BD52C9"/>
    <w:rsid w:val="00BD60B8"/>
    <w:rsid w:val="00BE300E"/>
    <w:rsid w:val="00BF044A"/>
    <w:rsid w:val="00C00582"/>
    <w:rsid w:val="00C04588"/>
    <w:rsid w:val="00C04A3A"/>
    <w:rsid w:val="00C11230"/>
    <w:rsid w:val="00C33FF1"/>
    <w:rsid w:val="00C3561B"/>
    <w:rsid w:val="00C4242E"/>
    <w:rsid w:val="00C45A5E"/>
    <w:rsid w:val="00C53802"/>
    <w:rsid w:val="00C623A8"/>
    <w:rsid w:val="00C661E0"/>
    <w:rsid w:val="00C70410"/>
    <w:rsid w:val="00C718AE"/>
    <w:rsid w:val="00CA7E27"/>
    <w:rsid w:val="00CB05B9"/>
    <w:rsid w:val="00CB3A9F"/>
    <w:rsid w:val="00CB584B"/>
    <w:rsid w:val="00CB6454"/>
    <w:rsid w:val="00CC50F1"/>
    <w:rsid w:val="00CD7696"/>
    <w:rsid w:val="00CE6235"/>
    <w:rsid w:val="00D11382"/>
    <w:rsid w:val="00D153B3"/>
    <w:rsid w:val="00D17F63"/>
    <w:rsid w:val="00D2288B"/>
    <w:rsid w:val="00D3294E"/>
    <w:rsid w:val="00D341A0"/>
    <w:rsid w:val="00D448D1"/>
    <w:rsid w:val="00D46780"/>
    <w:rsid w:val="00D47F75"/>
    <w:rsid w:val="00D5022E"/>
    <w:rsid w:val="00D52F08"/>
    <w:rsid w:val="00D72105"/>
    <w:rsid w:val="00D81CDE"/>
    <w:rsid w:val="00D83B2D"/>
    <w:rsid w:val="00D85B39"/>
    <w:rsid w:val="00D872C9"/>
    <w:rsid w:val="00DA5DE9"/>
    <w:rsid w:val="00DA65A8"/>
    <w:rsid w:val="00DC2AA3"/>
    <w:rsid w:val="00DC3081"/>
    <w:rsid w:val="00DD1DA2"/>
    <w:rsid w:val="00DD43C8"/>
    <w:rsid w:val="00DF47A9"/>
    <w:rsid w:val="00DF5AAE"/>
    <w:rsid w:val="00E0332C"/>
    <w:rsid w:val="00E10F79"/>
    <w:rsid w:val="00E1365E"/>
    <w:rsid w:val="00E1448C"/>
    <w:rsid w:val="00E262CD"/>
    <w:rsid w:val="00E34B52"/>
    <w:rsid w:val="00E376EA"/>
    <w:rsid w:val="00E421F6"/>
    <w:rsid w:val="00E4228D"/>
    <w:rsid w:val="00E42E86"/>
    <w:rsid w:val="00E46819"/>
    <w:rsid w:val="00E5154A"/>
    <w:rsid w:val="00E74389"/>
    <w:rsid w:val="00E74530"/>
    <w:rsid w:val="00E77E84"/>
    <w:rsid w:val="00EA576F"/>
    <w:rsid w:val="00EB39AD"/>
    <w:rsid w:val="00EB7C44"/>
    <w:rsid w:val="00EC698B"/>
    <w:rsid w:val="00ED61DF"/>
    <w:rsid w:val="00EE0627"/>
    <w:rsid w:val="00EE1583"/>
    <w:rsid w:val="00EE22AC"/>
    <w:rsid w:val="00EE51E1"/>
    <w:rsid w:val="00EE74A0"/>
    <w:rsid w:val="00EF0CC7"/>
    <w:rsid w:val="00F0651F"/>
    <w:rsid w:val="00F078E4"/>
    <w:rsid w:val="00F16CEB"/>
    <w:rsid w:val="00F23CE1"/>
    <w:rsid w:val="00F30062"/>
    <w:rsid w:val="00F31994"/>
    <w:rsid w:val="00F41D8E"/>
    <w:rsid w:val="00F476C0"/>
    <w:rsid w:val="00F558DD"/>
    <w:rsid w:val="00F7381D"/>
    <w:rsid w:val="00F76909"/>
    <w:rsid w:val="00F77357"/>
    <w:rsid w:val="00F80787"/>
    <w:rsid w:val="00F90F9D"/>
    <w:rsid w:val="00F91C82"/>
    <w:rsid w:val="00F9468A"/>
    <w:rsid w:val="00FB6AD2"/>
    <w:rsid w:val="00FD05B9"/>
    <w:rsid w:val="00FD0726"/>
    <w:rsid w:val="00FD0F47"/>
    <w:rsid w:val="00FD0F8A"/>
    <w:rsid w:val="00FD4EA3"/>
    <w:rsid w:val="00FD7D6A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2C88EE14"/>
  <w15:docId w15:val="{9B9A18C9-BB9D-4E87-A9D2-7EAEC89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CF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026CC"/>
    <w:pPr>
      <w:ind w:left="720"/>
    </w:pPr>
    <w:rPr>
      <w:rFonts w:ascii="Albertus Medium" w:hAnsi="Albertus Medium"/>
    </w:rPr>
  </w:style>
  <w:style w:type="paragraph" w:styleId="BodyTextIndent2">
    <w:name w:val="Body Text Indent 2"/>
    <w:basedOn w:val="Normal"/>
    <w:rsid w:val="00B026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026C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B0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3FC"/>
    <w:pPr>
      <w:ind w:left="720"/>
    </w:pPr>
  </w:style>
  <w:style w:type="paragraph" w:styleId="BalloonText">
    <w:name w:val="Balloon Text"/>
    <w:basedOn w:val="Normal"/>
    <w:link w:val="BalloonTextChar"/>
    <w:rsid w:val="005B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21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0C496E"/>
    <w:rPr>
      <w:color w:val="0563C1"/>
      <w:u w:val="single"/>
    </w:rPr>
  </w:style>
  <w:style w:type="character" w:styleId="FollowedHyperlink">
    <w:name w:val="FollowedHyperlink"/>
    <w:semiHidden/>
    <w:unhideWhenUsed/>
    <w:rsid w:val="001465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ylormadefarm.freshdesk.com/a/solu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API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Jamie Linkous</dc:creator>
  <cp:lastModifiedBy>Jamie Linkous</cp:lastModifiedBy>
  <cp:revision>4</cp:revision>
  <cp:lastPrinted>2015-04-28T20:06:00Z</cp:lastPrinted>
  <dcterms:created xsi:type="dcterms:W3CDTF">2018-08-13T11:57:00Z</dcterms:created>
  <dcterms:modified xsi:type="dcterms:W3CDTF">2018-08-13T12:00:00Z</dcterms:modified>
</cp:coreProperties>
</file>